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5C" w:rsidRDefault="00F7095C" w:rsidP="001D15E3">
      <w:pPr>
        <w:jc w:val="center"/>
        <w:rPr>
          <w:rFonts w:ascii="Garamond" w:hAnsi="Garamond"/>
          <w:b/>
        </w:rPr>
      </w:pPr>
    </w:p>
    <w:p w:rsidR="00F7095C" w:rsidRDefault="00F7095C" w:rsidP="001D15E3">
      <w:pPr>
        <w:jc w:val="center"/>
        <w:rPr>
          <w:rFonts w:ascii="Garamond" w:hAnsi="Garamond"/>
        </w:rPr>
      </w:pPr>
    </w:p>
    <w:p w:rsidR="00F7095C" w:rsidRPr="00EA4203" w:rsidRDefault="00F7095C" w:rsidP="00F7095C">
      <w:pPr>
        <w:jc w:val="center"/>
        <w:rPr>
          <w:rFonts w:ascii="Garamond" w:hAnsi="Garamond"/>
          <w:b/>
          <w:sz w:val="28"/>
          <w:szCs w:val="28"/>
        </w:rPr>
      </w:pPr>
      <w:r w:rsidRPr="00EA4203">
        <w:rPr>
          <w:rFonts w:ascii="Garamond" w:hAnsi="Garamond"/>
          <w:b/>
          <w:sz w:val="28"/>
          <w:szCs w:val="28"/>
        </w:rPr>
        <w:t>MODELO DE NOTAS</w:t>
      </w:r>
      <w:r w:rsidR="00EA4203" w:rsidRPr="00EA4203">
        <w:rPr>
          <w:rFonts w:ascii="Garamond" w:hAnsi="Garamond"/>
          <w:b/>
          <w:sz w:val="28"/>
          <w:szCs w:val="28"/>
        </w:rPr>
        <w:t xml:space="preserve"> SOBRE</w:t>
      </w:r>
    </w:p>
    <w:p w:rsidR="00F7095C" w:rsidRPr="00EA4203" w:rsidRDefault="00F7095C" w:rsidP="00F7095C">
      <w:pPr>
        <w:jc w:val="center"/>
        <w:rPr>
          <w:rFonts w:ascii="Garamond" w:hAnsi="Garamond"/>
          <w:b/>
          <w:sz w:val="28"/>
          <w:szCs w:val="28"/>
        </w:rPr>
      </w:pPr>
      <w:r w:rsidRPr="00EA4203">
        <w:rPr>
          <w:rFonts w:ascii="Garamond" w:hAnsi="Garamond"/>
          <w:b/>
          <w:sz w:val="28"/>
          <w:szCs w:val="28"/>
        </w:rPr>
        <w:t>NORMAS CONTABLES APLICADAS</w:t>
      </w:r>
      <w:r w:rsidR="00EA4203">
        <w:rPr>
          <w:rFonts w:ascii="Garamond" w:hAnsi="Garamond"/>
          <w:b/>
          <w:sz w:val="28"/>
          <w:szCs w:val="28"/>
        </w:rPr>
        <w:t xml:space="preserve"> PARA LA ELABORACIÓN DE LOS ESTADOS CONTABLES DEL ENTE</w:t>
      </w:r>
    </w:p>
    <w:p w:rsidR="00EA4203" w:rsidRPr="00EA4203" w:rsidRDefault="00EA4203" w:rsidP="00F7095C">
      <w:pPr>
        <w:jc w:val="center"/>
        <w:rPr>
          <w:rFonts w:ascii="Garamond" w:hAnsi="Garamond"/>
          <w:b/>
          <w:sz w:val="28"/>
          <w:szCs w:val="28"/>
        </w:rPr>
      </w:pPr>
    </w:p>
    <w:p w:rsidR="00EA4203" w:rsidRPr="00EA4203" w:rsidRDefault="00EA4203" w:rsidP="00F7095C">
      <w:pPr>
        <w:jc w:val="center"/>
        <w:rPr>
          <w:rFonts w:ascii="Garamond" w:hAnsi="Garamond"/>
          <w:b/>
          <w:sz w:val="28"/>
          <w:szCs w:val="28"/>
        </w:rPr>
      </w:pPr>
    </w:p>
    <w:p w:rsidR="00EA4203" w:rsidRPr="00EA4203" w:rsidRDefault="00964768" w:rsidP="00EA4203">
      <w:pPr>
        <w:pBdr>
          <w:top w:val="single" w:sz="4" w:space="1" w:color="auto"/>
          <w:left w:val="single" w:sz="4" w:space="4" w:color="auto"/>
          <w:bottom w:val="single" w:sz="4" w:space="1" w:color="auto"/>
          <w:right w:val="single" w:sz="4" w:space="4" w:color="auto"/>
        </w:pBdr>
        <w:rPr>
          <w:rFonts w:ascii="Garamond" w:hAnsi="Garamond"/>
          <w:b/>
          <w:sz w:val="28"/>
          <w:szCs w:val="28"/>
        </w:rPr>
      </w:pPr>
      <w:r>
        <w:rPr>
          <w:rFonts w:ascii="Garamond" w:hAnsi="Garamond"/>
          <w:b/>
          <w:sz w:val="28"/>
          <w:szCs w:val="28"/>
        </w:rPr>
        <w:t>Comentario general acerca</w:t>
      </w:r>
      <w:r w:rsidR="00EA4203" w:rsidRPr="00EA4203">
        <w:rPr>
          <w:rFonts w:ascii="Garamond" w:hAnsi="Garamond"/>
          <w:b/>
          <w:sz w:val="28"/>
          <w:szCs w:val="28"/>
        </w:rPr>
        <w:t xml:space="preserve"> </w:t>
      </w:r>
      <w:r>
        <w:rPr>
          <w:rFonts w:ascii="Garamond" w:hAnsi="Garamond"/>
          <w:b/>
          <w:sz w:val="28"/>
          <w:szCs w:val="28"/>
        </w:rPr>
        <w:t>de</w:t>
      </w:r>
      <w:r w:rsidR="00EA4203" w:rsidRPr="00EA4203">
        <w:rPr>
          <w:rFonts w:ascii="Garamond" w:hAnsi="Garamond"/>
          <w:b/>
          <w:sz w:val="28"/>
          <w:szCs w:val="28"/>
        </w:rPr>
        <w:t xml:space="preserve"> la utilización de esta nota:</w:t>
      </w:r>
    </w:p>
    <w:p w:rsidR="00EA4203" w:rsidRDefault="00EA4203" w:rsidP="00EA4203">
      <w:pPr>
        <w:pBdr>
          <w:top w:val="single" w:sz="4" w:space="1" w:color="auto"/>
          <w:left w:val="single" w:sz="4" w:space="4" w:color="auto"/>
          <w:bottom w:val="single" w:sz="4" w:space="1" w:color="auto"/>
          <w:right w:val="single" w:sz="4" w:space="4" w:color="auto"/>
        </w:pBdr>
        <w:rPr>
          <w:rFonts w:ascii="Garamond" w:hAnsi="Garamond"/>
          <w:b/>
          <w:sz w:val="28"/>
          <w:szCs w:val="28"/>
        </w:rPr>
      </w:pPr>
    </w:p>
    <w:p w:rsidR="00964768" w:rsidRDefault="00EA4203" w:rsidP="00EA4203">
      <w:pPr>
        <w:pBdr>
          <w:top w:val="single" w:sz="4" w:space="1" w:color="auto"/>
          <w:left w:val="single" w:sz="4" w:space="4" w:color="auto"/>
          <w:bottom w:val="single" w:sz="4" w:space="1" w:color="auto"/>
          <w:right w:val="single" w:sz="4" w:space="4" w:color="auto"/>
        </w:pBdr>
        <w:jc w:val="both"/>
        <w:rPr>
          <w:rFonts w:ascii="Garamond" w:hAnsi="Garamond"/>
          <w:sz w:val="28"/>
          <w:szCs w:val="28"/>
        </w:rPr>
      </w:pPr>
      <w:r w:rsidRPr="00EA4203">
        <w:rPr>
          <w:rFonts w:ascii="Garamond" w:hAnsi="Garamond"/>
          <w:sz w:val="28"/>
          <w:szCs w:val="28"/>
        </w:rPr>
        <w:t xml:space="preserve">Resulta obligatorio que un ente, al elaborar sus estados contables, brinde información precisa respecto de cuáles han sido las normas contables aplicadas (o “marco de preparación contable”) utilizadas para tal fin. </w:t>
      </w:r>
    </w:p>
    <w:p w:rsidR="00964768" w:rsidRDefault="00964768" w:rsidP="00EA4203">
      <w:pPr>
        <w:pBdr>
          <w:top w:val="single" w:sz="4" w:space="1" w:color="auto"/>
          <w:left w:val="single" w:sz="4" w:space="4" w:color="auto"/>
          <w:bottom w:val="single" w:sz="4" w:space="1" w:color="auto"/>
          <w:right w:val="single" w:sz="4" w:space="4" w:color="auto"/>
        </w:pBdr>
        <w:jc w:val="both"/>
        <w:rPr>
          <w:rFonts w:ascii="Garamond" w:hAnsi="Garamond"/>
          <w:sz w:val="28"/>
          <w:szCs w:val="28"/>
        </w:rPr>
      </w:pPr>
    </w:p>
    <w:p w:rsidR="00EA4203" w:rsidRPr="00EA4203" w:rsidRDefault="00EA4203" w:rsidP="00EA4203">
      <w:pPr>
        <w:pBdr>
          <w:top w:val="single" w:sz="4" w:space="1" w:color="auto"/>
          <w:left w:val="single" w:sz="4" w:space="4" w:color="auto"/>
          <w:bottom w:val="single" w:sz="4" w:space="1" w:color="auto"/>
          <w:right w:val="single" w:sz="4" w:space="4" w:color="auto"/>
        </w:pBdr>
        <w:jc w:val="both"/>
        <w:rPr>
          <w:rFonts w:ascii="Garamond" w:hAnsi="Garamond"/>
          <w:sz w:val="28"/>
          <w:szCs w:val="28"/>
        </w:rPr>
      </w:pPr>
      <w:r w:rsidRPr="00EA4203">
        <w:rPr>
          <w:rFonts w:ascii="Garamond" w:hAnsi="Garamond"/>
          <w:sz w:val="28"/>
          <w:szCs w:val="28"/>
        </w:rPr>
        <w:t xml:space="preserve">A continuación se proporcionan ejemplos de la nota que un ente deberá incluir para indicar de forma clara y precisa cuáles han sido las normas contables aplicadas </w:t>
      </w:r>
      <w:r w:rsidR="00964768">
        <w:rPr>
          <w:rFonts w:ascii="Garamond" w:hAnsi="Garamond"/>
          <w:sz w:val="28"/>
          <w:szCs w:val="28"/>
        </w:rPr>
        <w:t>al</w:t>
      </w:r>
      <w:r w:rsidRPr="00EA4203">
        <w:rPr>
          <w:rFonts w:ascii="Garamond" w:hAnsi="Garamond"/>
          <w:sz w:val="28"/>
          <w:szCs w:val="28"/>
        </w:rPr>
        <w:t xml:space="preserve"> elaborar </w:t>
      </w:r>
      <w:r w:rsidR="00964768">
        <w:rPr>
          <w:rFonts w:ascii="Garamond" w:hAnsi="Garamond"/>
          <w:sz w:val="28"/>
          <w:szCs w:val="28"/>
        </w:rPr>
        <w:t>sus</w:t>
      </w:r>
      <w:r w:rsidRPr="00EA4203">
        <w:rPr>
          <w:rFonts w:ascii="Garamond" w:hAnsi="Garamond"/>
          <w:sz w:val="28"/>
          <w:szCs w:val="28"/>
        </w:rPr>
        <w:t xml:space="preserve"> estados contables. Es importante destacar que esto no es un requerimiento que se vincule con la reexpresión a moneda de cierre de los estados contables.</w:t>
      </w:r>
    </w:p>
    <w:p w:rsidR="00EA4203" w:rsidRPr="00EA4203" w:rsidRDefault="00EA4203">
      <w:pPr>
        <w:rPr>
          <w:rFonts w:ascii="Garamond" w:hAnsi="Garamond"/>
          <w:b/>
          <w:sz w:val="28"/>
          <w:szCs w:val="28"/>
        </w:rPr>
      </w:pPr>
      <w:r w:rsidRPr="00EA4203">
        <w:rPr>
          <w:rFonts w:ascii="Garamond" w:hAnsi="Garamond"/>
          <w:b/>
          <w:sz w:val="28"/>
          <w:szCs w:val="28"/>
        </w:rPr>
        <w:br w:type="page"/>
      </w:r>
    </w:p>
    <w:p w:rsidR="00EA4203" w:rsidRPr="00EA4203" w:rsidRDefault="00EA4203" w:rsidP="00F7095C">
      <w:pPr>
        <w:jc w:val="center"/>
        <w:rPr>
          <w:rFonts w:ascii="Garamond" w:hAnsi="Garamond"/>
          <w:b/>
          <w:sz w:val="28"/>
          <w:szCs w:val="28"/>
        </w:rPr>
      </w:pPr>
    </w:p>
    <w:p w:rsidR="00EA4203" w:rsidRPr="00EA4203" w:rsidRDefault="00EA4203" w:rsidP="00EA4203">
      <w:pPr>
        <w:pBdr>
          <w:top w:val="single" w:sz="4" w:space="1" w:color="auto"/>
          <w:left w:val="single" w:sz="4" w:space="4" w:color="auto"/>
          <w:bottom w:val="single" w:sz="4" w:space="1" w:color="auto"/>
          <w:right w:val="single" w:sz="4" w:space="4" w:color="auto"/>
        </w:pBdr>
        <w:jc w:val="both"/>
        <w:rPr>
          <w:rFonts w:ascii="Garamond" w:hAnsi="Garamond"/>
          <w:b/>
          <w:u w:val="single"/>
        </w:rPr>
      </w:pPr>
      <w:r w:rsidRPr="00EA4203">
        <w:rPr>
          <w:rFonts w:ascii="Garamond" w:hAnsi="Garamond"/>
          <w:b/>
        </w:rPr>
        <w:t>Las normas contables aplicadas por el ente son las resoluciones técnicas distintas de la RT 26 (es decir, no usa Normas NIIF). El ente ha utilizado como norma de reconocimiento y medición general a la RT 17.</w:t>
      </w:r>
    </w:p>
    <w:p w:rsidR="00EA4203" w:rsidRPr="00EA4203" w:rsidRDefault="00EA4203" w:rsidP="00F7095C">
      <w:pPr>
        <w:jc w:val="both"/>
        <w:rPr>
          <w:rFonts w:ascii="Garamond" w:hAnsi="Garamond"/>
          <w:b/>
          <w:u w:val="single"/>
        </w:rPr>
      </w:pPr>
    </w:p>
    <w:p w:rsidR="00F7095C" w:rsidRPr="00EA4203" w:rsidRDefault="00EA4203" w:rsidP="00F7095C">
      <w:pPr>
        <w:jc w:val="both"/>
        <w:rPr>
          <w:rFonts w:ascii="Garamond" w:hAnsi="Garamond"/>
          <w:b/>
          <w:u w:val="single"/>
        </w:rPr>
      </w:pPr>
      <w:r w:rsidRPr="00EA4203">
        <w:rPr>
          <w:rFonts w:ascii="Garamond" w:hAnsi="Garamond"/>
          <w:b/>
          <w:u w:val="single"/>
        </w:rPr>
        <w:t>Nota XXX - Normas</w:t>
      </w:r>
      <w:r w:rsidR="00F7095C" w:rsidRPr="00EA4203">
        <w:rPr>
          <w:rFonts w:ascii="Garamond" w:hAnsi="Garamond"/>
          <w:b/>
          <w:u w:val="single"/>
        </w:rPr>
        <w:t xml:space="preserve"> contables aplicadas</w:t>
      </w:r>
    </w:p>
    <w:p w:rsidR="00F7095C" w:rsidRPr="00EA4203" w:rsidRDefault="00F7095C" w:rsidP="00F7095C">
      <w:pPr>
        <w:jc w:val="both"/>
        <w:rPr>
          <w:rFonts w:ascii="Garamond" w:hAnsi="Garamond"/>
        </w:rPr>
      </w:pPr>
    </w:p>
    <w:p w:rsidR="00F7095C" w:rsidRPr="00EA4203" w:rsidRDefault="00F7095C" w:rsidP="00F7095C">
      <w:pPr>
        <w:jc w:val="both"/>
        <w:rPr>
          <w:rFonts w:ascii="Garamond" w:hAnsi="Garamond"/>
        </w:rPr>
      </w:pPr>
      <w:r w:rsidRPr="00EA4203">
        <w:rPr>
          <w:rFonts w:ascii="Garamond" w:hAnsi="Garamond"/>
        </w:rPr>
        <w:t>La Entidad ha preparado los presentes estados contables de acuerdo con las Normas Contables Profesionales aprobadas por la Federación Argentina de Consejos Profesionales de Ciencias Económicas (FACPCE), en la versión en que han sido adoptadas por el Consejo Profesional de Ciencias Económicas de la Ciudad Autónoma de Buenos Aires (CPCECABA), distintas de la Resolución Técnica (RT) N° 26 sobre Adopción de Normas Internacionales de Información Financiera (NIIF) del Consejo de Normas Internacionales de Contabilidad (IASB).</w:t>
      </w:r>
    </w:p>
    <w:p w:rsidR="00F7095C" w:rsidRPr="00EA4203" w:rsidRDefault="00F7095C" w:rsidP="00F7095C">
      <w:pPr>
        <w:jc w:val="both"/>
        <w:rPr>
          <w:rFonts w:ascii="Garamond" w:hAnsi="Garamond"/>
        </w:rPr>
      </w:pPr>
    </w:p>
    <w:p w:rsidR="00F7095C" w:rsidRPr="00EA4203" w:rsidRDefault="00F7095C" w:rsidP="00F7095C">
      <w:pPr>
        <w:jc w:val="both"/>
        <w:rPr>
          <w:rFonts w:ascii="Garamond" w:hAnsi="Garamond"/>
        </w:rPr>
      </w:pPr>
      <w:r w:rsidRPr="00EA4203">
        <w:rPr>
          <w:rFonts w:ascii="Garamond" w:hAnsi="Garamond"/>
        </w:rPr>
        <w:t xml:space="preserve">La Entidad ha utilizado como </w:t>
      </w:r>
      <w:r w:rsidR="00EA4203" w:rsidRPr="00EA4203">
        <w:rPr>
          <w:rFonts w:ascii="Garamond" w:hAnsi="Garamond"/>
        </w:rPr>
        <w:t>norma</w:t>
      </w:r>
      <w:r w:rsidRPr="00EA4203">
        <w:rPr>
          <w:rFonts w:ascii="Garamond" w:hAnsi="Garamond"/>
        </w:rPr>
        <w:t xml:space="preserve"> de reconocimiento y medición en general a la Resolución Técnica N° 17 </w:t>
      </w:r>
    </w:p>
    <w:p w:rsidR="00EA4203" w:rsidRPr="00EA4203" w:rsidRDefault="00EA4203">
      <w:pPr>
        <w:rPr>
          <w:rFonts w:ascii="Garamond" w:hAnsi="Garamond"/>
        </w:rPr>
      </w:pPr>
      <w:r w:rsidRPr="00EA4203">
        <w:rPr>
          <w:rFonts w:ascii="Garamond" w:hAnsi="Garamond"/>
        </w:rPr>
        <w:br w:type="page"/>
      </w:r>
    </w:p>
    <w:p w:rsidR="00EA4203" w:rsidRPr="00EA4203" w:rsidRDefault="00EA4203" w:rsidP="00F7095C">
      <w:pPr>
        <w:rPr>
          <w:rFonts w:ascii="Garamond" w:hAnsi="Garamond"/>
        </w:rPr>
      </w:pPr>
    </w:p>
    <w:p w:rsidR="00EA4203" w:rsidRPr="00EA4203" w:rsidRDefault="00EA4203" w:rsidP="00EA4203">
      <w:pPr>
        <w:pBdr>
          <w:top w:val="single" w:sz="4" w:space="1" w:color="auto"/>
          <w:left w:val="single" w:sz="4" w:space="4" w:color="auto"/>
          <w:bottom w:val="single" w:sz="4" w:space="1" w:color="auto"/>
          <w:right w:val="single" w:sz="4" w:space="4" w:color="auto"/>
        </w:pBdr>
        <w:jc w:val="both"/>
        <w:rPr>
          <w:rFonts w:ascii="Garamond" w:hAnsi="Garamond"/>
          <w:b/>
          <w:u w:val="single"/>
        </w:rPr>
      </w:pPr>
      <w:r w:rsidRPr="00EA4203">
        <w:rPr>
          <w:rFonts w:ascii="Garamond" w:hAnsi="Garamond"/>
          <w:b/>
        </w:rPr>
        <w:t>Las normas contables aplicadas por el ente son las resoluciones técnicas distintas de la RT 26 (es decir, no usa Normas NIIF). El ente ha utilizad</w:t>
      </w:r>
      <w:r w:rsidRPr="00EA4203">
        <w:rPr>
          <w:rFonts w:ascii="Garamond" w:hAnsi="Garamond"/>
          <w:b/>
        </w:rPr>
        <w:t>o</w:t>
      </w:r>
      <w:r w:rsidRPr="00EA4203">
        <w:rPr>
          <w:rFonts w:ascii="Garamond" w:hAnsi="Garamond"/>
          <w:b/>
        </w:rPr>
        <w:t xml:space="preserve"> como norma de reconocimiento y medición general a la RT </w:t>
      </w:r>
      <w:r w:rsidRPr="00EA4203">
        <w:rPr>
          <w:rFonts w:ascii="Garamond" w:hAnsi="Garamond"/>
          <w:b/>
        </w:rPr>
        <w:t>41, segunda parte - normas para entes pequeños - EP</w:t>
      </w:r>
      <w:r w:rsidRPr="00EA4203">
        <w:rPr>
          <w:rFonts w:ascii="Garamond" w:hAnsi="Garamond"/>
          <w:b/>
        </w:rPr>
        <w:t>.</w:t>
      </w:r>
    </w:p>
    <w:p w:rsidR="00EA4203" w:rsidRPr="00EA4203" w:rsidRDefault="00EA4203" w:rsidP="00EA4203">
      <w:pPr>
        <w:jc w:val="both"/>
        <w:rPr>
          <w:rFonts w:ascii="Garamond" w:hAnsi="Garamond"/>
          <w:b/>
          <w:u w:val="single"/>
        </w:rPr>
      </w:pPr>
    </w:p>
    <w:p w:rsidR="00EA4203" w:rsidRPr="00EA4203" w:rsidRDefault="00EA4203" w:rsidP="00EA4203">
      <w:pPr>
        <w:jc w:val="both"/>
        <w:rPr>
          <w:rFonts w:ascii="Garamond" w:hAnsi="Garamond"/>
          <w:b/>
          <w:u w:val="single"/>
        </w:rPr>
      </w:pPr>
      <w:r w:rsidRPr="00EA4203">
        <w:rPr>
          <w:rFonts w:ascii="Garamond" w:hAnsi="Garamond"/>
          <w:b/>
          <w:u w:val="single"/>
        </w:rPr>
        <w:t>Nota XXX - Normas contables aplicadas</w:t>
      </w:r>
    </w:p>
    <w:p w:rsidR="00EA4203" w:rsidRPr="00EA4203" w:rsidRDefault="00EA4203" w:rsidP="00EA4203">
      <w:pPr>
        <w:jc w:val="both"/>
        <w:rPr>
          <w:rFonts w:ascii="Garamond" w:hAnsi="Garamond"/>
        </w:rPr>
      </w:pPr>
    </w:p>
    <w:p w:rsidR="00EA4203" w:rsidRPr="00EA4203" w:rsidRDefault="00EA4203" w:rsidP="00EA4203">
      <w:pPr>
        <w:jc w:val="both"/>
        <w:rPr>
          <w:rFonts w:ascii="Garamond" w:hAnsi="Garamond"/>
        </w:rPr>
      </w:pPr>
      <w:r w:rsidRPr="00EA4203">
        <w:rPr>
          <w:rFonts w:ascii="Garamond" w:hAnsi="Garamond"/>
        </w:rPr>
        <w:t>La Entidad ha preparado los presentes estados contables de acuerdo con las Normas Contables Profesionales aprobadas por la Federación Argentina de Consejos Profesionales de Ciencias Económicas (FACPCE), en la versión en que han sido adoptadas por el Consejo Profesional de Ciencias Económicas de la Ciudad Autónoma de Buenos Aires (CPCECABA), distintas de la Resolución Técnica (RT) N° 26 sobre Adopción de Normas Internacionales de Información Financiera (NIIF) del Consejo de Normas Internacionales de Contabilidad (IASB).</w:t>
      </w:r>
    </w:p>
    <w:p w:rsidR="00EA4203" w:rsidRPr="00EA4203" w:rsidRDefault="00EA4203" w:rsidP="00EA4203">
      <w:pPr>
        <w:jc w:val="both"/>
        <w:rPr>
          <w:rFonts w:ascii="Garamond" w:hAnsi="Garamond"/>
        </w:rPr>
      </w:pPr>
    </w:p>
    <w:p w:rsidR="00EA4203" w:rsidRPr="00EA4203" w:rsidRDefault="00EA4203" w:rsidP="00EA4203">
      <w:pPr>
        <w:jc w:val="both"/>
        <w:rPr>
          <w:rFonts w:ascii="Garamond" w:hAnsi="Garamond"/>
        </w:rPr>
      </w:pPr>
      <w:r w:rsidRPr="00EA4203">
        <w:rPr>
          <w:rFonts w:ascii="Garamond" w:hAnsi="Garamond"/>
        </w:rPr>
        <w:t>La Entidad ha utilizado como norma de reconocimiento y medición en general a la Resolución Técnica N° 41, segunda parte (dado que cumple las condiciones para ser considerada un “ente pequeño”)</w:t>
      </w:r>
      <w:r w:rsidRPr="00EA4203">
        <w:rPr>
          <w:rFonts w:ascii="Garamond" w:hAnsi="Garamond"/>
        </w:rPr>
        <w:t>.</w:t>
      </w:r>
    </w:p>
    <w:p w:rsidR="00EA4203" w:rsidRPr="00EA4203" w:rsidRDefault="00EA4203">
      <w:pPr>
        <w:rPr>
          <w:rFonts w:ascii="Garamond" w:hAnsi="Garamond"/>
        </w:rPr>
      </w:pPr>
      <w:r w:rsidRPr="00EA4203">
        <w:rPr>
          <w:rFonts w:ascii="Garamond" w:hAnsi="Garamond"/>
        </w:rPr>
        <w:br w:type="page"/>
      </w:r>
    </w:p>
    <w:p w:rsidR="00EA4203" w:rsidRPr="00EA4203" w:rsidRDefault="00EA4203" w:rsidP="00EA4203">
      <w:pPr>
        <w:pBdr>
          <w:top w:val="single" w:sz="4" w:space="1" w:color="auto"/>
          <w:left w:val="single" w:sz="4" w:space="4" w:color="auto"/>
          <w:bottom w:val="single" w:sz="4" w:space="1" w:color="auto"/>
          <w:right w:val="single" w:sz="4" w:space="4" w:color="auto"/>
        </w:pBdr>
        <w:jc w:val="both"/>
        <w:rPr>
          <w:rFonts w:ascii="Garamond" w:hAnsi="Garamond"/>
          <w:b/>
          <w:u w:val="single"/>
        </w:rPr>
      </w:pPr>
      <w:r w:rsidRPr="00EA4203">
        <w:rPr>
          <w:rFonts w:ascii="Garamond" w:hAnsi="Garamond"/>
          <w:b/>
        </w:rPr>
        <w:lastRenderedPageBreak/>
        <w:t>Las normas contables aplicadas por el ente son las resoluciones técnicas distintas de la RT 26 (es decir, no usa Normas NIIF). El ente ha utilizad</w:t>
      </w:r>
      <w:r w:rsidRPr="00EA4203">
        <w:rPr>
          <w:rFonts w:ascii="Garamond" w:hAnsi="Garamond"/>
          <w:b/>
        </w:rPr>
        <w:t>o</w:t>
      </w:r>
      <w:r w:rsidRPr="00EA4203">
        <w:rPr>
          <w:rFonts w:ascii="Garamond" w:hAnsi="Garamond"/>
          <w:b/>
        </w:rPr>
        <w:t xml:space="preserve"> como norma de reconocimiento y medición general a la RT 41, </w:t>
      </w:r>
      <w:r w:rsidRPr="00EA4203">
        <w:rPr>
          <w:rFonts w:ascii="Garamond" w:hAnsi="Garamond"/>
          <w:b/>
        </w:rPr>
        <w:t>tercera</w:t>
      </w:r>
      <w:r w:rsidRPr="00EA4203">
        <w:rPr>
          <w:rFonts w:ascii="Garamond" w:hAnsi="Garamond"/>
          <w:b/>
        </w:rPr>
        <w:t xml:space="preserve"> parte - normas para entes </w:t>
      </w:r>
      <w:r w:rsidRPr="00EA4203">
        <w:rPr>
          <w:rFonts w:ascii="Garamond" w:hAnsi="Garamond"/>
          <w:b/>
        </w:rPr>
        <w:t>medianos</w:t>
      </w:r>
      <w:r w:rsidRPr="00EA4203">
        <w:rPr>
          <w:rFonts w:ascii="Garamond" w:hAnsi="Garamond"/>
          <w:b/>
        </w:rPr>
        <w:t xml:space="preserve"> - EP.</w:t>
      </w:r>
    </w:p>
    <w:p w:rsidR="00EA4203" w:rsidRPr="00EA4203" w:rsidRDefault="00EA4203" w:rsidP="00EA4203">
      <w:pPr>
        <w:jc w:val="both"/>
        <w:rPr>
          <w:rFonts w:ascii="Garamond" w:hAnsi="Garamond"/>
          <w:b/>
          <w:u w:val="single"/>
        </w:rPr>
      </w:pPr>
    </w:p>
    <w:p w:rsidR="00EA4203" w:rsidRPr="00EA4203" w:rsidRDefault="00EA4203" w:rsidP="00EA4203">
      <w:pPr>
        <w:jc w:val="both"/>
        <w:rPr>
          <w:rFonts w:ascii="Garamond" w:hAnsi="Garamond"/>
          <w:b/>
          <w:u w:val="single"/>
        </w:rPr>
      </w:pPr>
      <w:r w:rsidRPr="00EA4203">
        <w:rPr>
          <w:rFonts w:ascii="Garamond" w:hAnsi="Garamond"/>
          <w:b/>
          <w:u w:val="single"/>
        </w:rPr>
        <w:t>Nota XXX - Normas contables aplicadas</w:t>
      </w:r>
    </w:p>
    <w:p w:rsidR="00EA4203" w:rsidRPr="00EA4203" w:rsidRDefault="00EA4203" w:rsidP="00EA4203">
      <w:pPr>
        <w:jc w:val="both"/>
        <w:rPr>
          <w:rFonts w:ascii="Garamond" w:hAnsi="Garamond"/>
        </w:rPr>
      </w:pPr>
    </w:p>
    <w:p w:rsidR="00EA4203" w:rsidRPr="00EA4203" w:rsidRDefault="00EA4203" w:rsidP="00EA4203">
      <w:pPr>
        <w:jc w:val="both"/>
        <w:rPr>
          <w:rFonts w:ascii="Garamond" w:hAnsi="Garamond"/>
        </w:rPr>
      </w:pPr>
      <w:r w:rsidRPr="00EA4203">
        <w:rPr>
          <w:rFonts w:ascii="Garamond" w:hAnsi="Garamond"/>
        </w:rPr>
        <w:t>La Entidad ha preparado los presentes estados contables de acuerdo con las Normas Contables Profesionales aprobadas por la Federación Argentina de Consejos Profesionales de Ciencias Económicas (FACPCE), en la versión en que han sido adoptadas por el Consejo Profesional de Ciencias Económicas de la Ciudad Autónoma de Buenos Aires (CPCECABA), distintas de la Resolución Técnica (RT) N° 26 sobre Adopción de Normas Internacionales de Información Financiera (NIIF) del Consejo de Normas Internacionales de Contabilidad (IASB).</w:t>
      </w:r>
    </w:p>
    <w:p w:rsidR="00EA4203" w:rsidRPr="00EA4203" w:rsidRDefault="00EA4203" w:rsidP="00EA4203">
      <w:pPr>
        <w:jc w:val="both"/>
        <w:rPr>
          <w:rFonts w:ascii="Garamond" w:hAnsi="Garamond"/>
        </w:rPr>
      </w:pPr>
    </w:p>
    <w:p w:rsidR="00F7095C" w:rsidRPr="00F7095C" w:rsidRDefault="00EA4203" w:rsidP="000E136E">
      <w:pPr>
        <w:jc w:val="both"/>
        <w:rPr>
          <w:rFonts w:ascii="Garamond" w:hAnsi="Garamond"/>
          <w:b/>
          <w:highlight w:val="yellow"/>
        </w:rPr>
      </w:pPr>
      <w:r w:rsidRPr="00EA4203">
        <w:rPr>
          <w:rFonts w:ascii="Garamond" w:hAnsi="Garamond"/>
        </w:rPr>
        <w:t>La Entidad ha utilizado como norma de reconocimiento y medición en general a la Resolución Técnica</w:t>
      </w:r>
      <w:r w:rsidRPr="00EA4203">
        <w:rPr>
          <w:rFonts w:ascii="Garamond" w:hAnsi="Garamond"/>
        </w:rPr>
        <w:t xml:space="preserve"> N° 41</w:t>
      </w:r>
      <w:r w:rsidRPr="00EA4203">
        <w:rPr>
          <w:rFonts w:ascii="Garamond" w:hAnsi="Garamond"/>
        </w:rPr>
        <w:t>, tercera parte (dado que cumple las condiciones para ser considerada un “ente mediano”)</w:t>
      </w:r>
      <w:r w:rsidRPr="00EA4203">
        <w:rPr>
          <w:rFonts w:ascii="Garamond" w:hAnsi="Garamond"/>
        </w:rPr>
        <w:t>.</w:t>
      </w:r>
      <w:bookmarkStart w:id="0" w:name="_GoBack"/>
      <w:bookmarkEnd w:id="0"/>
    </w:p>
    <w:sectPr w:rsidR="00F7095C" w:rsidRPr="00F7095C" w:rsidSect="008750CA">
      <w:footerReference w:type="even" r:id="rId8"/>
      <w:footerReference w:type="default" r:id="rId9"/>
      <w:pgSz w:w="11906" w:h="16838"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E7" w:rsidRDefault="00DA72E7">
      <w:r>
        <w:separator/>
      </w:r>
    </w:p>
  </w:endnote>
  <w:endnote w:type="continuationSeparator" w:id="0">
    <w:p w:rsidR="00DA72E7" w:rsidRDefault="00DA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F27" w:rsidRDefault="00F7491F" w:rsidP="003D3668">
    <w:pPr>
      <w:pStyle w:val="Piedepgina"/>
      <w:framePr w:wrap="around" w:vAnchor="text" w:hAnchor="margin" w:xAlign="right" w:y="1"/>
      <w:rPr>
        <w:rStyle w:val="Nmerodepgina"/>
      </w:rPr>
    </w:pPr>
    <w:r>
      <w:rPr>
        <w:rStyle w:val="Nmerodepgina"/>
      </w:rPr>
      <w:fldChar w:fldCharType="begin"/>
    </w:r>
    <w:r w:rsidR="00E67F27">
      <w:rPr>
        <w:rStyle w:val="Nmerodepgina"/>
      </w:rPr>
      <w:instrText xml:space="preserve">PAGE  </w:instrText>
    </w:r>
    <w:r>
      <w:rPr>
        <w:rStyle w:val="Nmerodepgina"/>
      </w:rPr>
      <w:fldChar w:fldCharType="end"/>
    </w:r>
  </w:p>
  <w:p w:rsidR="00E67F27" w:rsidRDefault="00E67F27" w:rsidP="001D15E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F27" w:rsidRPr="008750CA" w:rsidRDefault="00F7491F" w:rsidP="003D3668">
    <w:pPr>
      <w:pStyle w:val="Piedepgina"/>
      <w:framePr w:wrap="around" w:vAnchor="text" w:hAnchor="margin" w:xAlign="right" w:y="1"/>
      <w:rPr>
        <w:rStyle w:val="Nmerodepgina"/>
        <w:rFonts w:ascii="Garamond" w:hAnsi="Garamond"/>
        <w:sz w:val="20"/>
        <w:szCs w:val="20"/>
      </w:rPr>
    </w:pPr>
    <w:r w:rsidRPr="008750CA">
      <w:rPr>
        <w:rStyle w:val="Nmerodepgina"/>
        <w:rFonts w:ascii="Garamond" w:hAnsi="Garamond"/>
        <w:sz w:val="20"/>
        <w:szCs w:val="20"/>
      </w:rPr>
      <w:fldChar w:fldCharType="begin"/>
    </w:r>
    <w:r w:rsidR="00E67F27" w:rsidRPr="008750CA">
      <w:rPr>
        <w:rStyle w:val="Nmerodepgina"/>
        <w:rFonts w:ascii="Garamond" w:hAnsi="Garamond"/>
        <w:sz w:val="20"/>
        <w:szCs w:val="20"/>
      </w:rPr>
      <w:instrText xml:space="preserve">PAGE  </w:instrText>
    </w:r>
    <w:r w:rsidRPr="008750CA">
      <w:rPr>
        <w:rStyle w:val="Nmerodepgina"/>
        <w:rFonts w:ascii="Garamond" w:hAnsi="Garamond"/>
        <w:sz w:val="20"/>
        <w:szCs w:val="20"/>
      </w:rPr>
      <w:fldChar w:fldCharType="separate"/>
    </w:r>
    <w:r w:rsidR="000E136E">
      <w:rPr>
        <w:rStyle w:val="Nmerodepgina"/>
        <w:rFonts w:ascii="Garamond" w:hAnsi="Garamond"/>
        <w:noProof/>
        <w:sz w:val="20"/>
        <w:szCs w:val="20"/>
      </w:rPr>
      <w:t>4</w:t>
    </w:r>
    <w:r w:rsidRPr="008750CA">
      <w:rPr>
        <w:rStyle w:val="Nmerodepgina"/>
        <w:rFonts w:ascii="Garamond" w:hAnsi="Garamond"/>
        <w:sz w:val="20"/>
        <w:szCs w:val="20"/>
      </w:rPr>
      <w:fldChar w:fldCharType="end"/>
    </w:r>
  </w:p>
  <w:p w:rsidR="00E67F27" w:rsidRDefault="00E67F27" w:rsidP="001D15E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E7" w:rsidRDefault="00DA72E7">
      <w:r>
        <w:separator/>
      </w:r>
    </w:p>
  </w:footnote>
  <w:footnote w:type="continuationSeparator" w:id="0">
    <w:p w:rsidR="00DA72E7" w:rsidRDefault="00DA7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610"/>
    <w:multiLevelType w:val="hybridMultilevel"/>
    <w:tmpl w:val="6E0E9F3C"/>
    <w:lvl w:ilvl="0" w:tplc="2C0A0017">
      <w:start w:val="1"/>
      <w:numFmt w:val="lowerLetter"/>
      <w:lvlText w:val="%1)"/>
      <w:lvlJc w:val="left"/>
      <w:pPr>
        <w:ind w:left="2505" w:hanging="360"/>
      </w:pPr>
      <w:rPr>
        <w:rFonts w:hint="default"/>
      </w:rPr>
    </w:lvl>
    <w:lvl w:ilvl="1" w:tplc="2C0A0019" w:tentative="1">
      <w:start w:val="1"/>
      <w:numFmt w:val="lowerLetter"/>
      <w:lvlText w:val="%2."/>
      <w:lvlJc w:val="left"/>
      <w:pPr>
        <w:ind w:left="3225" w:hanging="360"/>
      </w:pPr>
    </w:lvl>
    <w:lvl w:ilvl="2" w:tplc="2C0A001B" w:tentative="1">
      <w:start w:val="1"/>
      <w:numFmt w:val="lowerRoman"/>
      <w:lvlText w:val="%3."/>
      <w:lvlJc w:val="right"/>
      <w:pPr>
        <w:ind w:left="3945" w:hanging="180"/>
      </w:pPr>
    </w:lvl>
    <w:lvl w:ilvl="3" w:tplc="2C0A000F" w:tentative="1">
      <w:start w:val="1"/>
      <w:numFmt w:val="decimal"/>
      <w:lvlText w:val="%4."/>
      <w:lvlJc w:val="left"/>
      <w:pPr>
        <w:ind w:left="4665" w:hanging="360"/>
      </w:pPr>
    </w:lvl>
    <w:lvl w:ilvl="4" w:tplc="2C0A0019" w:tentative="1">
      <w:start w:val="1"/>
      <w:numFmt w:val="lowerLetter"/>
      <w:lvlText w:val="%5."/>
      <w:lvlJc w:val="left"/>
      <w:pPr>
        <w:ind w:left="5385" w:hanging="360"/>
      </w:pPr>
    </w:lvl>
    <w:lvl w:ilvl="5" w:tplc="2C0A001B" w:tentative="1">
      <w:start w:val="1"/>
      <w:numFmt w:val="lowerRoman"/>
      <w:lvlText w:val="%6."/>
      <w:lvlJc w:val="right"/>
      <w:pPr>
        <w:ind w:left="6105" w:hanging="180"/>
      </w:pPr>
    </w:lvl>
    <w:lvl w:ilvl="6" w:tplc="2C0A000F" w:tentative="1">
      <w:start w:val="1"/>
      <w:numFmt w:val="decimal"/>
      <w:lvlText w:val="%7."/>
      <w:lvlJc w:val="left"/>
      <w:pPr>
        <w:ind w:left="6825" w:hanging="360"/>
      </w:pPr>
    </w:lvl>
    <w:lvl w:ilvl="7" w:tplc="2C0A0019" w:tentative="1">
      <w:start w:val="1"/>
      <w:numFmt w:val="lowerLetter"/>
      <w:lvlText w:val="%8."/>
      <w:lvlJc w:val="left"/>
      <w:pPr>
        <w:ind w:left="7545" w:hanging="360"/>
      </w:pPr>
    </w:lvl>
    <w:lvl w:ilvl="8" w:tplc="2C0A001B" w:tentative="1">
      <w:start w:val="1"/>
      <w:numFmt w:val="lowerRoman"/>
      <w:lvlText w:val="%9."/>
      <w:lvlJc w:val="right"/>
      <w:pPr>
        <w:ind w:left="8265" w:hanging="180"/>
      </w:pPr>
    </w:lvl>
  </w:abstractNum>
  <w:abstractNum w:abstractNumId="1">
    <w:nsid w:val="147919FE"/>
    <w:multiLevelType w:val="hybridMultilevel"/>
    <w:tmpl w:val="91BEA3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321741A"/>
    <w:multiLevelType w:val="hybridMultilevel"/>
    <w:tmpl w:val="EA3213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F4B7D60"/>
    <w:multiLevelType w:val="hybridMultilevel"/>
    <w:tmpl w:val="1948675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4113835"/>
    <w:multiLevelType w:val="hybridMultilevel"/>
    <w:tmpl w:val="99C46E3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7660FF2"/>
    <w:multiLevelType w:val="multilevel"/>
    <w:tmpl w:val="E9A895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2C97DA7"/>
    <w:multiLevelType w:val="hybridMultilevel"/>
    <w:tmpl w:val="2668E12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EB24EC8"/>
    <w:multiLevelType w:val="hybridMultilevel"/>
    <w:tmpl w:val="08FC11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E3"/>
    <w:rsid w:val="00002053"/>
    <w:rsid w:val="00032A67"/>
    <w:rsid w:val="0006318B"/>
    <w:rsid w:val="00067133"/>
    <w:rsid w:val="00072FB7"/>
    <w:rsid w:val="000B5AD7"/>
    <w:rsid w:val="000C5237"/>
    <w:rsid w:val="000D7E2E"/>
    <w:rsid w:val="000E136E"/>
    <w:rsid w:val="00100587"/>
    <w:rsid w:val="00112F6C"/>
    <w:rsid w:val="001131A9"/>
    <w:rsid w:val="0012784F"/>
    <w:rsid w:val="001507EF"/>
    <w:rsid w:val="00156DEC"/>
    <w:rsid w:val="00191D3C"/>
    <w:rsid w:val="001D15E3"/>
    <w:rsid w:val="0023369D"/>
    <w:rsid w:val="0029552E"/>
    <w:rsid w:val="003652F3"/>
    <w:rsid w:val="003772C2"/>
    <w:rsid w:val="00394BB0"/>
    <w:rsid w:val="003B2A74"/>
    <w:rsid w:val="003D3668"/>
    <w:rsid w:val="003D77B8"/>
    <w:rsid w:val="003E5D41"/>
    <w:rsid w:val="003F5765"/>
    <w:rsid w:val="00402917"/>
    <w:rsid w:val="00406D50"/>
    <w:rsid w:val="00424E36"/>
    <w:rsid w:val="00491E39"/>
    <w:rsid w:val="004A56B0"/>
    <w:rsid w:val="004C5403"/>
    <w:rsid w:val="004D6C54"/>
    <w:rsid w:val="004E1783"/>
    <w:rsid w:val="00513D2B"/>
    <w:rsid w:val="005312DE"/>
    <w:rsid w:val="00534233"/>
    <w:rsid w:val="00576E0B"/>
    <w:rsid w:val="0059026B"/>
    <w:rsid w:val="00595367"/>
    <w:rsid w:val="005B03F5"/>
    <w:rsid w:val="005B07EC"/>
    <w:rsid w:val="005C0B7D"/>
    <w:rsid w:val="006155CB"/>
    <w:rsid w:val="00625DB9"/>
    <w:rsid w:val="00627B60"/>
    <w:rsid w:val="00631C61"/>
    <w:rsid w:val="00657E41"/>
    <w:rsid w:val="006752DD"/>
    <w:rsid w:val="006869B9"/>
    <w:rsid w:val="006A4AFA"/>
    <w:rsid w:val="006C15D3"/>
    <w:rsid w:val="00722858"/>
    <w:rsid w:val="00723760"/>
    <w:rsid w:val="00723999"/>
    <w:rsid w:val="0072607F"/>
    <w:rsid w:val="00726C6B"/>
    <w:rsid w:val="0076776B"/>
    <w:rsid w:val="007A007A"/>
    <w:rsid w:val="007A2B34"/>
    <w:rsid w:val="007B0343"/>
    <w:rsid w:val="007C2A74"/>
    <w:rsid w:val="008750CA"/>
    <w:rsid w:val="00881249"/>
    <w:rsid w:val="008E3188"/>
    <w:rsid w:val="008E7608"/>
    <w:rsid w:val="009029A7"/>
    <w:rsid w:val="00924220"/>
    <w:rsid w:val="009524F2"/>
    <w:rsid w:val="00962B65"/>
    <w:rsid w:val="00964768"/>
    <w:rsid w:val="009834C9"/>
    <w:rsid w:val="00984D7E"/>
    <w:rsid w:val="009C5F7A"/>
    <w:rsid w:val="009E0695"/>
    <w:rsid w:val="009F7FA0"/>
    <w:rsid w:val="00A17DDF"/>
    <w:rsid w:val="00A8655D"/>
    <w:rsid w:val="00AB3BC2"/>
    <w:rsid w:val="00AC45EE"/>
    <w:rsid w:val="00AD0073"/>
    <w:rsid w:val="00AF53E4"/>
    <w:rsid w:val="00B32C39"/>
    <w:rsid w:val="00B4220E"/>
    <w:rsid w:val="00B5062F"/>
    <w:rsid w:val="00B646F7"/>
    <w:rsid w:val="00B66C6F"/>
    <w:rsid w:val="00BA0F2C"/>
    <w:rsid w:val="00BE2336"/>
    <w:rsid w:val="00BF4617"/>
    <w:rsid w:val="00C72179"/>
    <w:rsid w:val="00C94915"/>
    <w:rsid w:val="00CA14BC"/>
    <w:rsid w:val="00D5784C"/>
    <w:rsid w:val="00D93AF7"/>
    <w:rsid w:val="00DA33B3"/>
    <w:rsid w:val="00DA72E7"/>
    <w:rsid w:val="00DC51A0"/>
    <w:rsid w:val="00DD4852"/>
    <w:rsid w:val="00DD4B42"/>
    <w:rsid w:val="00E039DD"/>
    <w:rsid w:val="00E330AB"/>
    <w:rsid w:val="00E41C30"/>
    <w:rsid w:val="00E64D2A"/>
    <w:rsid w:val="00E67F27"/>
    <w:rsid w:val="00E75E4A"/>
    <w:rsid w:val="00E92674"/>
    <w:rsid w:val="00EA0868"/>
    <w:rsid w:val="00EA4203"/>
    <w:rsid w:val="00EE2574"/>
    <w:rsid w:val="00EF212B"/>
    <w:rsid w:val="00EF6ECF"/>
    <w:rsid w:val="00F051C8"/>
    <w:rsid w:val="00F11B67"/>
    <w:rsid w:val="00F43588"/>
    <w:rsid w:val="00F576AA"/>
    <w:rsid w:val="00F7095C"/>
    <w:rsid w:val="00F7491F"/>
    <w:rsid w:val="00F84E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4B878F-97D2-4921-9652-E83C77C5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91F"/>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D15E3"/>
    <w:pPr>
      <w:tabs>
        <w:tab w:val="center" w:pos="4252"/>
        <w:tab w:val="right" w:pos="8504"/>
      </w:tabs>
    </w:pPr>
  </w:style>
  <w:style w:type="character" w:styleId="Nmerodepgina">
    <w:name w:val="page number"/>
    <w:basedOn w:val="Fuentedeprrafopredeter"/>
    <w:rsid w:val="001D15E3"/>
  </w:style>
  <w:style w:type="table" w:styleId="Tablaconcuadrcula">
    <w:name w:val="Table Grid"/>
    <w:basedOn w:val="Tablanormal"/>
    <w:rsid w:val="00726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semiHidden/>
    <w:rsid w:val="00726C6B"/>
    <w:rPr>
      <w:sz w:val="20"/>
      <w:szCs w:val="20"/>
    </w:rPr>
  </w:style>
  <w:style w:type="character" w:styleId="Refdenotaalpie">
    <w:name w:val="footnote reference"/>
    <w:semiHidden/>
    <w:rsid w:val="00726C6B"/>
    <w:rPr>
      <w:vertAlign w:val="superscript"/>
    </w:rPr>
  </w:style>
  <w:style w:type="paragraph" w:styleId="Textoindependiente3">
    <w:name w:val="Body Text 3"/>
    <w:basedOn w:val="Normal"/>
    <w:rsid w:val="00491E39"/>
    <w:pPr>
      <w:jc w:val="both"/>
    </w:pPr>
    <w:rPr>
      <w:sz w:val="20"/>
      <w:szCs w:val="20"/>
    </w:rPr>
  </w:style>
  <w:style w:type="paragraph" w:styleId="Encabezado">
    <w:name w:val="header"/>
    <w:basedOn w:val="Normal"/>
    <w:rsid w:val="008750CA"/>
    <w:pPr>
      <w:tabs>
        <w:tab w:val="center" w:pos="4252"/>
        <w:tab w:val="right" w:pos="8504"/>
      </w:tabs>
    </w:pPr>
  </w:style>
  <w:style w:type="paragraph" w:styleId="Prrafodelista">
    <w:name w:val="List Paragraph"/>
    <w:basedOn w:val="Normal"/>
    <w:uiPriority w:val="34"/>
    <w:qFormat/>
    <w:rsid w:val="006869B9"/>
    <w:pPr>
      <w:ind w:left="708"/>
    </w:pPr>
  </w:style>
  <w:style w:type="paragraph" w:styleId="Textodeglobo">
    <w:name w:val="Balloon Text"/>
    <w:basedOn w:val="Normal"/>
    <w:link w:val="TextodegloboCar"/>
    <w:rsid w:val="007C2A74"/>
    <w:rPr>
      <w:rFonts w:ascii="Tahoma" w:hAnsi="Tahoma" w:cs="Tahoma"/>
      <w:sz w:val="16"/>
      <w:szCs w:val="16"/>
    </w:rPr>
  </w:style>
  <w:style w:type="character" w:customStyle="1" w:styleId="TextodegloboCar">
    <w:name w:val="Texto de globo Car"/>
    <w:link w:val="Textodeglobo"/>
    <w:rsid w:val="007C2A74"/>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23CC-DDE1-4D15-BF8C-A013C249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MODELOS DE NOTAS A LOS ESTADOS CONTABLES</vt:lpstr>
    </vt:vector>
  </TitlesOfParts>
  <Company>CPCECABA</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NOTAS A LOS ESTADOS CONTABLES</dc:title>
  <dc:creator>olopez</dc:creator>
  <cp:lastModifiedBy>Hernán Casinelli</cp:lastModifiedBy>
  <cp:revision>3</cp:revision>
  <cp:lastPrinted>2018-11-27T22:29:00Z</cp:lastPrinted>
  <dcterms:created xsi:type="dcterms:W3CDTF">2019-05-29T19:28:00Z</dcterms:created>
  <dcterms:modified xsi:type="dcterms:W3CDTF">2019-05-29T19:28:00Z</dcterms:modified>
</cp:coreProperties>
</file>